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A699" w14:textId="255A6EF0" w:rsidR="00E55036" w:rsidRDefault="00E55036">
      <w:pPr>
        <w:pStyle w:val="BodyText"/>
        <w:spacing w:before="0"/>
        <w:ind w:left="111" w:firstLine="0"/>
        <w:rPr>
          <w:rFonts w:ascii="Times New Roman"/>
          <w:sz w:val="20"/>
        </w:rPr>
      </w:pPr>
      <w:bookmarkStart w:id="0" w:name="_GoBack"/>
      <w:bookmarkEnd w:id="0"/>
    </w:p>
    <w:p w14:paraId="38425394" w14:textId="128218BA" w:rsidR="000758C6" w:rsidRDefault="000758C6" w:rsidP="000758C6">
      <w:pPr>
        <w:pStyle w:val="BodyText"/>
        <w:spacing w:before="29"/>
        <w:ind w:left="0" w:firstLine="0"/>
        <w:rPr>
          <w:rFonts w:ascii="Abadi" w:hAnsi="Abadi" w:cs="Arial"/>
        </w:rPr>
      </w:pPr>
      <w:r>
        <w:rPr>
          <w:rFonts w:ascii="Times New Roman"/>
          <w:noProof/>
          <w:lang w:val="en-GB" w:eastAsia="en-GB"/>
        </w:rPr>
        <w:drawing>
          <wp:inline distT="0" distB="0" distL="0" distR="0" wp14:anchorId="2893BD99" wp14:editId="4BD15B08">
            <wp:extent cx="1714500" cy="1657350"/>
            <wp:effectExtent l="0" t="0" r="0" b="0"/>
            <wp:docPr id="201995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30" cy="1660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F2EBA" w14:textId="77777777" w:rsidR="000758C6" w:rsidRDefault="000758C6" w:rsidP="00743A98">
      <w:pPr>
        <w:pStyle w:val="Title"/>
        <w:jc w:val="center"/>
        <w:rPr>
          <w:rFonts w:ascii="Abadi" w:hAnsi="Abadi" w:cs="Arial"/>
        </w:rPr>
      </w:pPr>
    </w:p>
    <w:p w14:paraId="76A12AB3" w14:textId="65F617D1" w:rsidR="00E55036" w:rsidRPr="00743A98" w:rsidRDefault="0020425A" w:rsidP="00743A98">
      <w:pPr>
        <w:pStyle w:val="Title"/>
        <w:jc w:val="center"/>
        <w:rPr>
          <w:rFonts w:ascii="Abadi" w:hAnsi="Abadi" w:cs="Arial"/>
          <w:spacing w:val="-2"/>
        </w:rPr>
      </w:pPr>
      <w:r w:rsidRPr="00743A98">
        <w:rPr>
          <w:rFonts w:ascii="Abadi" w:hAnsi="Abadi" w:cs="Arial"/>
        </w:rPr>
        <w:t>Safeguarding</w:t>
      </w:r>
      <w:r w:rsidRPr="00743A98">
        <w:rPr>
          <w:rFonts w:ascii="Abadi" w:hAnsi="Abadi" w:cs="Arial"/>
          <w:spacing w:val="-5"/>
        </w:rPr>
        <w:t xml:space="preserve"> </w:t>
      </w:r>
      <w:r w:rsidRPr="00743A98">
        <w:rPr>
          <w:rFonts w:ascii="Abadi" w:hAnsi="Abadi" w:cs="Arial"/>
        </w:rPr>
        <w:t>Policy</w:t>
      </w:r>
      <w:r w:rsidRPr="00743A98">
        <w:rPr>
          <w:rFonts w:ascii="Abadi" w:hAnsi="Abadi" w:cs="Arial"/>
          <w:spacing w:val="-5"/>
        </w:rPr>
        <w:t xml:space="preserve"> </w:t>
      </w:r>
      <w:r w:rsidRPr="00743A98">
        <w:rPr>
          <w:rFonts w:ascii="Abadi" w:hAnsi="Abadi" w:cs="Arial"/>
          <w:spacing w:val="-2"/>
        </w:rPr>
        <w:t>Statement</w:t>
      </w:r>
    </w:p>
    <w:p w14:paraId="2B173314" w14:textId="77777777" w:rsidR="00743A98" w:rsidRPr="00743A98" w:rsidRDefault="00743A98" w:rsidP="00743A98">
      <w:pPr>
        <w:pStyle w:val="Title"/>
        <w:jc w:val="center"/>
        <w:rPr>
          <w:rFonts w:ascii="Abadi" w:hAnsi="Abadi" w:cs="Arial"/>
          <w:u w:val="none"/>
        </w:rPr>
      </w:pPr>
    </w:p>
    <w:p w14:paraId="1FEFFA1C" w14:textId="203AE82D" w:rsidR="00E55036" w:rsidRPr="00743A98" w:rsidRDefault="0020425A">
      <w:pPr>
        <w:pStyle w:val="BodyText"/>
        <w:spacing w:before="29" w:line="266" w:lineRule="auto"/>
        <w:ind w:left="111" w:firstLine="0"/>
        <w:rPr>
          <w:rFonts w:ascii="Abadi" w:hAnsi="Abadi" w:cs="Arial"/>
        </w:rPr>
      </w:pPr>
      <w:r w:rsidRPr="00743A98">
        <w:rPr>
          <w:rFonts w:ascii="Abadi" w:hAnsi="Abadi" w:cs="Arial"/>
        </w:rPr>
        <w:t>Bicester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Blue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Fins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swimming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club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is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committed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to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a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club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environment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in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which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>all</w:t>
      </w:r>
      <w:r w:rsidRPr="00743A98">
        <w:rPr>
          <w:rFonts w:ascii="Abadi" w:hAnsi="Abadi" w:cs="Arial"/>
          <w:spacing w:val="-2"/>
        </w:rPr>
        <w:t xml:space="preserve"> </w:t>
      </w:r>
      <w:r w:rsidRPr="00743A98">
        <w:rPr>
          <w:rFonts w:ascii="Abadi" w:hAnsi="Abadi" w:cs="Arial"/>
        </w:rPr>
        <w:t xml:space="preserve">people participating in its activities have a safe and positive </w:t>
      </w:r>
      <w:r w:rsidRPr="00743A98">
        <w:rPr>
          <w:rFonts w:ascii="Abadi" w:hAnsi="Abadi" w:cs="Arial"/>
        </w:rPr>
        <w:t>experience.</w:t>
      </w:r>
    </w:p>
    <w:p w14:paraId="545AB8FF" w14:textId="77777777" w:rsidR="00E55036" w:rsidRPr="00743A98" w:rsidRDefault="0020425A">
      <w:pPr>
        <w:pStyle w:val="BodyText"/>
        <w:spacing w:before="214"/>
        <w:ind w:left="111" w:firstLine="0"/>
        <w:rPr>
          <w:rFonts w:ascii="Abadi" w:hAnsi="Abadi" w:cs="Arial"/>
        </w:rPr>
      </w:pPr>
      <w:r w:rsidRPr="00743A98">
        <w:rPr>
          <w:rFonts w:ascii="Abadi" w:hAnsi="Abadi" w:cs="Arial"/>
        </w:rPr>
        <w:t>In</w:t>
      </w:r>
      <w:r w:rsidRPr="00743A98">
        <w:rPr>
          <w:rFonts w:ascii="Abadi" w:hAnsi="Abadi" w:cs="Arial"/>
          <w:spacing w:val="-1"/>
        </w:rPr>
        <w:t xml:space="preserve"> </w:t>
      </w:r>
      <w:r w:rsidRPr="00743A98">
        <w:rPr>
          <w:rFonts w:ascii="Abadi" w:hAnsi="Abadi" w:cs="Arial"/>
        </w:rPr>
        <w:t>order</w:t>
      </w:r>
      <w:r w:rsidRPr="00743A98">
        <w:rPr>
          <w:rFonts w:ascii="Abadi" w:hAnsi="Abadi" w:cs="Arial"/>
          <w:spacing w:val="-1"/>
        </w:rPr>
        <w:t xml:space="preserve"> </w:t>
      </w:r>
      <w:r w:rsidRPr="00743A98">
        <w:rPr>
          <w:rFonts w:ascii="Abadi" w:hAnsi="Abadi" w:cs="Arial"/>
        </w:rPr>
        <w:t>to achieve</w:t>
      </w:r>
      <w:r w:rsidRPr="00743A98">
        <w:rPr>
          <w:rFonts w:ascii="Abadi" w:hAnsi="Abadi" w:cs="Arial"/>
          <w:spacing w:val="-1"/>
        </w:rPr>
        <w:t xml:space="preserve"> </w:t>
      </w:r>
      <w:r w:rsidRPr="00743A98">
        <w:rPr>
          <w:rFonts w:ascii="Abadi" w:hAnsi="Abadi" w:cs="Arial"/>
        </w:rPr>
        <w:t>this</w:t>
      </w:r>
      <w:r w:rsidRPr="00743A98">
        <w:rPr>
          <w:rFonts w:ascii="Abadi" w:hAnsi="Abadi" w:cs="Arial"/>
          <w:spacing w:val="-1"/>
        </w:rPr>
        <w:t xml:space="preserve"> </w:t>
      </w:r>
      <w:r w:rsidRPr="00743A98">
        <w:rPr>
          <w:rFonts w:ascii="Abadi" w:hAnsi="Abadi" w:cs="Arial"/>
        </w:rPr>
        <w:t>the club</w:t>
      </w:r>
      <w:r w:rsidRPr="00743A98">
        <w:rPr>
          <w:rFonts w:ascii="Abadi" w:hAnsi="Abadi" w:cs="Arial"/>
          <w:spacing w:val="-1"/>
        </w:rPr>
        <w:t xml:space="preserve"> </w:t>
      </w:r>
      <w:r w:rsidRPr="00743A98">
        <w:rPr>
          <w:rFonts w:ascii="Abadi" w:hAnsi="Abadi" w:cs="Arial"/>
        </w:rPr>
        <w:t xml:space="preserve">agrees </w:t>
      </w:r>
      <w:r w:rsidRPr="00743A98">
        <w:rPr>
          <w:rFonts w:ascii="Abadi" w:hAnsi="Abadi" w:cs="Arial"/>
          <w:spacing w:val="-5"/>
        </w:rPr>
        <w:t>to:</w:t>
      </w:r>
    </w:p>
    <w:p w14:paraId="10BC0A77" w14:textId="1596219F" w:rsidR="00743A98" w:rsidRDefault="0020425A" w:rsidP="00743A98">
      <w:pPr>
        <w:pStyle w:val="ListParagraph"/>
        <w:numPr>
          <w:ilvl w:val="0"/>
          <w:numId w:val="1"/>
        </w:numPr>
        <w:tabs>
          <w:tab w:val="left" w:pos="816"/>
        </w:tabs>
        <w:spacing w:before="76" w:line="268" w:lineRule="auto"/>
        <w:ind w:right="197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Adopt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implement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Swim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England</w:t>
      </w:r>
      <w:r w:rsidR="00743A98" w:rsidRPr="00743A98">
        <w:rPr>
          <w:rFonts w:ascii="Abadi" w:hAnsi="Abadi" w:cs="Arial"/>
          <w:sz w:val="24"/>
        </w:rPr>
        <w:t xml:space="preserve"> </w:t>
      </w:r>
      <w:hyperlink r:id="rId8" w:history="1">
        <w:r w:rsidR="00743A98" w:rsidRPr="00743A98">
          <w:rPr>
            <w:rStyle w:val="Hyperlink"/>
            <w:rFonts w:ascii="Abadi" w:hAnsi="Abadi" w:cs="Arial"/>
            <w:sz w:val="24"/>
          </w:rPr>
          <w:t>Wavepower</w:t>
        </w:r>
      </w:hyperlink>
      <w:r w:rsidR="00743A98">
        <w:rPr>
          <w:rFonts w:ascii="Abadi" w:hAnsi="Abadi" w:cs="Arial"/>
          <w:sz w:val="24"/>
        </w:rPr>
        <w:t xml:space="preserve"> 2024 </w:t>
      </w:r>
      <w:r w:rsidRPr="00743A98">
        <w:rPr>
          <w:rFonts w:ascii="Abadi" w:hAnsi="Abadi" w:cs="Arial"/>
          <w:sz w:val="24"/>
        </w:rPr>
        <w:t>policy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</w:t>
      </w:r>
      <w:r w:rsidR="00743A98">
        <w:rPr>
          <w:rFonts w:ascii="Abadi" w:hAnsi="Abadi" w:cs="Arial"/>
          <w:sz w:val="24"/>
        </w:rPr>
        <w:t>n</w:t>
      </w:r>
      <w:r w:rsidRPr="00743A98">
        <w:rPr>
          <w:rFonts w:ascii="Abadi" w:hAnsi="Abadi" w:cs="Arial"/>
          <w:sz w:val="24"/>
        </w:rPr>
        <w:t xml:space="preserve"> </w:t>
      </w:r>
      <w:r w:rsidRPr="00743A98">
        <w:rPr>
          <w:rFonts w:ascii="Abadi" w:hAnsi="Abadi" w:cs="Arial"/>
          <w:spacing w:val="-2"/>
          <w:sz w:val="24"/>
        </w:rPr>
        <w:t>full</w:t>
      </w:r>
      <w:r w:rsidR="00743A98">
        <w:rPr>
          <w:rFonts w:ascii="Abadi" w:hAnsi="Abadi" w:cs="Arial"/>
          <w:spacing w:val="-2"/>
          <w:sz w:val="24"/>
        </w:rPr>
        <w:t>.</w:t>
      </w:r>
    </w:p>
    <w:p w14:paraId="0E71BE3F" w14:textId="2A2CB8D8" w:rsidR="00E55036" w:rsidRPr="00743A98" w:rsidRDefault="0020425A" w:rsidP="00743A98">
      <w:pPr>
        <w:pStyle w:val="ListParagraph"/>
        <w:numPr>
          <w:ilvl w:val="0"/>
          <w:numId w:val="1"/>
        </w:numPr>
        <w:tabs>
          <w:tab w:val="left" w:pos="816"/>
        </w:tabs>
        <w:spacing w:before="76" w:line="268" w:lineRule="auto"/>
        <w:ind w:right="197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Recognise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that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="00743A98" w:rsidRPr="00743A98">
        <w:rPr>
          <w:rFonts w:ascii="Abadi" w:hAnsi="Abadi" w:cs="Arial"/>
          <w:sz w:val="24"/>
        </w:rPr>
        <w:t>members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participating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club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(regardless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age,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gender,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race,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religion,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sexual orientation, ability or disability) have a right to enjoy their involvement in swimming in a safe environment and be protected from harm.</w:t>
      </w:r>
    </w:p>
    <w:p w14:paraId="3C9C257E" w14:textId="38B7D54A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before="43" w:line="271" w:lineRule="auto"/>
        <w:ind w:right="785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that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those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="00743A98" w:rsidRPr="00743A98">
        <w:rPr>
          <w:rFonts w:ascii="Abadi" w:hAnsi="Abadi" w:cs="Arial"/>
          <w:sz w:val="24"/>
        </w:rPr>
        <w:t>individuals who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work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club,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whether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paid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or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voluntary, provide a positive, safe and enjoyable experience for </w:t>
      </w:r>
      <w:r w:rsidR="00743A98">
        <w:rPr>
          <w:rFonts w:ascii="Abadi" w:hAnsi="Abadi" w:cs="Arial"/>
          <w:sz w:val="24"/>
        </w:rPr>
        <w:t>all</w:t>
      </w:r>
      <w:r w:rsidRPr="00743A98">
        <w:rPr>
          <w:rFonts w:ascii="Abadi" w:hAnsi="Abadi" w:cs="Arial"/>
          <w:sz w:val="24"/>
        </w:rPr>
        <w:t>.</w:t>
      </w:r>
    </w:p>
    <w:p w14:paraId="4D572BDD" w14:textId="3D7E7EF5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line="271" w:lineRule="auto"/>
        <w:ind w:right="370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Appoint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Club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Welfare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Officer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necessary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skills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training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outlined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by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Swim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England who will take the lead in dealing with all safeguarding matters raised </w:t>
      </w:r>
      <w:r w:rsidRPr="00743A98">
        <w:rPr>
          <w:rFonts w:ascii="Abadi" w:hAnsi="Abadi" w:cs="Arial"/>
          <w:sz w:val="24"/>
        </w:rPr>
        <w:t>within the club.</w:t>
      </w:r>
    </w:p>
    <w:p w14:paraId="243A9601" w14:textId="477AA295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before="38" w:line="266" w:lineRule="auto"/>
        <w:ind w:right="1036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that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Club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Welfare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Officers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name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contact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details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known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to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all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staff,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club members and </w:t>
      </w:r>
      <w:r w:rsidR="00743A98">
        <w:rPr>
          <w:rFonts w:ascii="Abadi" w:hAnsi="Abadi" w:cs="Arial"/>
          <w:sz w:val="24"/>
        </w:rPr>
        <w:t>/guardians</w:t>
      </w:r>
      <w:r w:rsidRPr="00743A98">
        <w:rPr>
          <w:rFonts w:ascii="Abadi" w:hAnsi="Abadi" w:cs="Arial"/>
          <w:sz w:val="24"/>
        </w:rPr>
        <w:t xml:space="preserve"> of members.</w:t>
      </w:r>
    </w:p>
    <w:p w14:paraId="76995A3C" w14:textId="26E35075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before="51" w:line="266" w:lineRule="auto"/>
        <w:ind w:right="112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Welfare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Officer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to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be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available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to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discuss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issues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concern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matters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safeguarding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deal with such c</w:t>
      </w:r>
      <w:r w:rsidRPr="00743A98">
        <w:rPr>
          <w:rFonts w:ascii="Abadi" w:hAnsi="Abadi" w:cs="Arial"/>
          <w:sz w:val="24"/>
        </w:rPr>
        <w:t xml:space="preserve">oncerns appropriately and in line with </w:t>
      </w:r>
    </w:p>
    <w:p w14:paraId="7427A0A3" w14:textId="6E39D0D5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before="50" w:line="266" w:lineRule="auto"/>
        <w:ind w:right="248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 all those persons who work with children in the club have undertaken the appropriate training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relevant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CRB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checks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adhere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to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required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practices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for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safeguarding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children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as outlined in </w:t>
      </w:r>
      <w:r w:rsidR="00743A98">
        <w:rPr>
          <w:rFonts w:ascii="Abadi" w:hAnsi="Abadi" w:cs="Arial"/>
          <w:sz w:val="24"/>
        </w:rPr>
        <w:t xml:space="preserve">Swim England’s </w:t>
      </w:r>
      <w:hyperlink r:id="rId9" w:history="1">
        <w:r w:rsidR="001F459B">
          <w:rPr>
            <w:rStyle w:val="Hyperlink"/>
            <w:rFonts w:ascii="Abadi" w:hAnsi="Abadi" w:cs="Arial"/>
            <w:sz w:val="24"/>
          </w:rPr>
          <w:t>Wavepower</w:t>
        </w:r>
      </w:hyperlink>
      <w:r w:rsidR="00743A98">
        <w:rPr>
          <w:rFonts w:ascii="Abadi" w:hAnsi="Abadi" w:cs="Arial"/>
          <w:sz w:val="24"/>
        </w:rPr>
        <w:t xml:space="preserve"> policy 2024</w:t>
      </w:r>
    </w:p>
    <w:p w14:paraId="2F4A7C56" w14:textId="5F62AA5D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before="52" w:line="266" w:lineRule="auto"/>
        <w:ind w:right="637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that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all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individuals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who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will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be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working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or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will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work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="000758C6">
        <w:rPr>
          <w:rFonts w:ascii="Abadi" w:hAnsi="Abadi" w:cs="Arial"/>
          <w:sz w:val="24"/>
        </w:rPr>
        <w:t>in the club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ha</w:t>
      </w:r>
      <w:r w:rsidR="000758C6">
        <w:rPr>
          <w:rFonts w:ascii="Abadi" w:hAnsi="Abadi" w:cs="Arial"/>
          <w:sz w:val="24"/>
        </w:rPr>
        <w:t>v</w:t>
      </w:r>
      <w:r w:rsidRPr="00743A98">
        <w:rPr>
          <w:rFonts w:ascii="Abadi" w:hAnsi="Abadi" w:cs="Arial"/>
          <w:sz w:val="24"/>
        </w:rPr>
        <w:t>e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been recruited in accordance with the Swim </w:t>
      </w:r>
      <w:r w:rsidRPr="00743A98">
        <w:rPr>
          <w:rFonts w:ascii="Abadi" w:hAnsi="Abadi" w:cs="Arial"/>
          <w:sz w:val="24"/>
        </w:rPr>
        <w:t>England Safe Recruitment Policy</w:t>
      </w:r>
      <w:r w:rsidR="000758C6">
        <w:rPr>
          <w:rFonts w:ascii="Abadi" w:hAnsi="Abadi" w:cs="Arial"/>
          <w:sz w:val="24"/>
        </w:rPr>
        <w:t xml:space="preserve"> as detailed in </w:t>
      </w:r>
      <w:hyperlink r:id="rId10" w:history="1">
        <w:r w:rsidR="001F459B">
          <w:rPr>
            <w:rStyle w:val="Hyperlink"/>
            <w:rFonts w:ascii="Abadi" w:hAnsi="Abadi" w:cs="Arial"/>
            <w:sz w:val="24"/>
          </w:rPr>
          <w:t>Wavepower</w:t>
        </w:r>
      </w:hyperlink>
      <w:r w:rsidR="001F459B">
        <w:rPr>
          <w:rFonts w:ascii="Abadi" w:hAnsi="Abadi" w:cs="Arial"/>
          <w:sz w:val="24"/>
        </w:rPr>
        <w:t xml:space="preserve"> </w:t>
      </w:r>
      <w:r w:rsidR="000758C6">
        <w:rPr>
          <w:rFonts w:ascii="Abadi" w:hAnsi="Abadi" w:cs="Arial"/>
          <w:sz w:val="24"/>
        </w:rPr>
        <w:t>2024.</w:t>
      </w:r>
    </w:p>
    <w:p w14:paraId="5790B11A" w14:textId="7A54BD28" w:rsidR="00E55036" w:rsidRPr="00743A98" w:rsidRDefault="0020425A">
      <w:pPr>
        <w:pStyle w:val="ListParagraph"/>
        <w:numPr>
          <w:ilvl w:val="0"/>
          <w:numId w:val="1"/>
        </w:numPr>
        <w:tabs>
          <w:tab w:val="left" w:pos="816"/>
        </w:tabs>
        <w:spacing w:before="45" w:line="271" w:lineRule="auto"/>
        <w:ind w:right="547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that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all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individuals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who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work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within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club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have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appropriate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training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 codes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cond</w:t>
      </w:r>
      <w:r w:rsidRPr="00743A98">
        <w:rPr>
          <w:rFonts w:ascii="Abadi" w:hAnsi="Abadi" w:cs="Arial"/>
          <w:sz w:val="24"/>
        </w:rPr>
        <w:t>uct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good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practice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to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follow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line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guidance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hyperlink r:id="rId11" w:history="1">
        <w:r w:rsidR="001F459B">
          <w:rPr>
            <w:rStyle w:val="Hyperlink"/>
            <w:rFonts w:ascii="Abadi" w:hAnsi="Abadi" w:cs="Arial"/>
            <w:sz w:val="24"/>
          </w:rPr>
          <w:t>Wavepower</w:t>
        </w:r>
      </w:hyperlink>
      <w:r w:rsidR="001F459B">
        <w:rPr>
          <w:rFonts w:ascii="Abadi" w:hAnsi="Abadi" w:cs="Arial"/>
          <w:sz w:val="24"/>
        </w:rPr>
        <w:t xml:space="preserve"> 2024.</w:t>
      </w:r>
    </w:p>
    <w:p w14:paraId="64E725AF" w14:textId="3700BDA5" w:rsidR="00E55036" w:rsidRPr="00743A98" w:rsidRDefault="0020425A">
      <w:pPr>
        <w:pStyle w:val="ListParagraph"/>
        <w:numPr>
          <w:ilvl w:val="0"/>
          <w:numId w:val="1"/>
        </w:numPr>
        <w:tabs>
          <w:tab w:val="left" w:pos="814"/>
          <w:tab w:val="left" w:pos="816"/>
        </w:tabs>
        <w:spacing w:line="271" w:lineRule="auto"/>
        <w:ind w:right="243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Provide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all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club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members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parents</w:t>
      </w:r>
      <w:r w:rsidR="000758C6">
        <w:rPr>
          <w:rFonts w:ascii="Abadi" w:hAnsi="Abadi" w:cs="Arial"/>
          <w:spacing w:val="-2"/>
          <w:sz w:val="24"/>
        </w:rPr>
        <w:t xml:space="preserve">/guardians </w:t>
      </w:r>
      <w:r w:rsidRPr="00743A98">
        <w:rPr>
          <w:rFonts w:ascii="Abadi" w:hAnsi="Abadi" w:cs="Arial"/>
          <w:sz w:val="24"/>
        </w:rPr>
        <w:t>of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members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opportunity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to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raise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concerns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</w:t>
      </w:r>
      <w:r w:rsidRPr="00743A98">
        <w:rPr>
          <w:rFonts w:ascii="Abadi" w:hAnsi="Abadi" w:cs="Arial"/>
          <w:spacing w:val="-2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safe and confidential manner if they have a concern about a </w:t>
      </w:r>
      <w:r w:rsidR="000758C6">
        <w:rPr>
          <w:rFonts w:ascii="Abadi" w:hAnsi="Abadi" w:cs="Arial"/>
          <w:sz w:val="24"/>
        </w:rPr>
        <w:t xml:space="preserve">members’ </w:t>
      </w:r>
      <w:r w:rsidRPr="00743A98">
        <w:rPr>
          <w:rFonts w:ascii="Abadi" w:hAnsi="Abadi" w:cs="Arial"/>
          <w:sz w:val="24"/>
        </w:rPr>
        <w:t>welfare.</w:t>
      </w:r>
    </w:p>
    <w:p w14:paraId="129D925A" w14:textId="65FA9883" w:rsidR="00E55036" w:rsidRPr="00743A98" w:rsidRDefault="0020425A">
      <w:pPr>
        <w:pStyle w:val="ListParagraph"/>
        <w:numPr>
          <w:ilvl w:val="0"/>
          <w:numId w:val="1"/>
        </w:numPr>
        <w:tabs>
          <w:tab w:val="left" w:pos="814"/>
          <w:tab w:val="left" w:pos="816"/>
        </w:tabs>
        <w:spacing w:line="268" w:lineRule="auto"/>
        <w:ind w:right="125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 that all safeguarding matters, whether they be concerns about welfare or protection,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dealt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appropriately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accordance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guidance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for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reporting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action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in </w:t>
      </w:r>
      <w:hyperlink r:id="rId12" w:history="1">
        <w:r w:rsidR="001F459B">
          <w:rPr>
            <w:rStyle w:val="Hyperlink"/>
            <w:rFonts w:ascii="Abadi" w:hAnsi="Abadi" w:cs="Arial"/>
            <w:sz w:val="24"/>
          </w:rPr>
          <w:t>Wavepower</w:t>
        </w:r>
      </w:hyperlink>
      <w:r w:rsidR="001F459B">
        <w:rPr>
          <w:rFonts w:ascii="Abadi" w:hAnsi="Abadi" w:cs="Arial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20</w:t>
      </w:r>
      <w:r w:rsidR="000758C6">
        <w:rPr>
          <w:rFonts w:ascii="Abadi" w:hAnsi="Abadi" w:cs="Arial"/>
          <w:sz w:val="24"/>
        </w:rPr>
        <w:t>24</w:t>
      </w:r>
      <w:r w:rsidRPr="00743A98">
        <w:rPr>
          <w:rFonts w:ascii="Abadi" w:hAnsi="Abadi" w:cs="Arial"/>
          <w:sz w:val="24"/>
        </w:rPr>
        <w:t>.</w:t>
      </w:r>
    </w:p>
    <w:p w14:paraId="42045020" w14:textId="56A1737A" w:rsidR="00E55036" w:rsidRPr="00743A98" w:rsidRDefault="0020425A">
      <w:pPr>
        <w:pStyle w:val="ListParagraph"/>
        <w:numPr>
          <w:ilvl w:val="0"/>
          <w:numId w:val="1"/>
        </w:numPr>
        <w:tabs>
          <w:tab w:val="left" w:pos="814"/>
          <w:tab w:val="left" w:pos="816"/>
        </w:tabs>
        <w:spacing w:before="43" w:line="271" w:lineRule="auto"/>
        <w:ind w:right="555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t>Ensure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that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confidentiality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maintained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appropriately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and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line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with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the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best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interests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of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the </w:t>
      </w:r>
      <w:r w:rsidR="000758C6">
        <w:rPr>
          <w:rFonts w:ascii="Abadi" w:hAnsi="Abadi" w:cs="Arial"/>
          <w:spacing w:val="-2"/>
          <w:sz w:val="24"/>
        </w:rPr>
        <w:t>individual concerned</w:t>
      </w:r>
      <w:r w:rsidRPr="00743A98">
        <w:rPr>
          <w:rFonts w:ascii="Abadi" w:hAnsi="Abadi" w:cs="Arial"/>
          <w:spacing w:val="-2"/>
          <w:sz w:val="24"/>
        </w:rPr>
        <w:t>.</w:t>
      </w:r>
    </w:p>
    <w:p w14:paraId="3A82B5C4" w14:textId="16EB950A" w:rsidR="00E55036" w:rsidRPr="00743A98" w:rsidRDefault="0020425A">
      <w:pPr>
        <w:pStyle w:val="ListParagraph"/>
        <w:numPr>
          <w:ilvl w:val="0"/>
          <w:numId w:val="1"/>
        </w:numPr>
        <w:tabs>
          <w:tab w:val="left" w:pos="814"/>
        </w:tabs>
        <w:spacing w:before="38"/>
        <w:ind w:left="814" w:hanging="358"/>
        <w:rPr>
          <w:rFonts w:ascii="Abadi" w:hAnsi="Abadi" w:cs="Arial"/>
          <w:sz w:val="24"/>
        </w:rPr>
      </w:pPr>
      <w:r w:rsidRPr="00743A98">
        <w:rPr>
          <w:rFonts w:ascii="Abadi" w:hAnsi="Abadi" w:cs="Arial"/>
          <w:sz w:val="24"/>
        </w:rPr>
        <w:lastRenderedPageBreak/>
        <w:t>Ensure</w:t>
      </w:r>
      <w:r w:rsidRPr="00743A98">
        <w:rPr>
          <w:rFonts w:ascii="Abadi" w:hAnsi="Abadi" w:cs="Arial"/>
          <w:spacing w:val="-3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all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papers relating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to </w:t>
      </w:r>
      <w:r w:rsidR="000758C6">
        <w:rPr>
          <w:rFonts w:ascii="Abadi" w:hAnsi="Abadi" w:cs="Arial"/>
          <w:spacing w:val="-1"/>
          <w:sz w:val="24"/>
        </w:rPr>
        <w:t>any safe</w:t>
      </w:r>
      <w:r w:rsidRPr="00743A98">
        <w:rPr>
          <w:rFonts w:ascii="Abadi" w:hAnsi="Abadi" w:cs="Arial"/>
          <w:sz w:val="24"/>
        </w:rPr>
        <w:t>guarding matters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are held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in a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>safe and</w:t>
      </w:r>
      <w:r w:rsidRPr="00743A98">
        <w:rPr>
          <w:rFonts w:ascii="Abadi" w:hAnsi="Abadi" w:cs="Arial"/>
          <w:spacing w:val="-1"/>
          <w:sz w:val="24"/>
        </w:rPr>
        <w:t xml:space="preserve"> </w:t>
      </w:r>
      <w:r w:rsidRPr="00743A98">
        <w:rPr>
          <w:rFonts w:ascii="Abadi" w:hAnsi="Abadi" w:cs="Arial"/>
          <w:sz w:val="24"/>
        </w:rPr>
        <w:t xml:space="preserve">secure </w:t>
      </w:r>
      <w:r w:rsidRPr="00743A98">
        <w:rPr>
          <w:rFonts w:ascii="Abadi" w:hAnsi="Abadi" w:cs="Arial"/>
          <w:spacing w:val="-2"/>
          <w:sz w:val="24"/>
        </w:rPr>
        <w:t>manner.</w:t>
      </w:r>
    </w:p>
    <w:sectPr w:rsidR="00E55036" w:rsidRPr="00743A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72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7854" w14:textId="77777777" w:rsidR="0020425A" w:rsidRDefault="0020425A" w:rsidP="000758C6">
      <w:r>
        <w:separator/>
      </w:r>
    </w:p>
  </w:endnote>
  <w:endnote w:type="continuationSeparator" w:id="0">
    <w:p w14:paraId="3C965042" w14:textId="77777777" w:rsidR="0020425A" w:rsidRDefault="0020425A" w:rsidP="0007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A662" w14:textId="77777777" w:rsidR="000758C6" w:rsidRDefault="00075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4FA7" w14:textId="77777777" w:rsidR="000758C6" w:rsidRDefault="00075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A635" w14:textId="77777777" w:rsidR="000758C6" w:rsidRDefault="00075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2135" w14:textId="77777777" w:rsidR="0020425A" w:rsidRDefault="0020425A" w:rsidP="000758C6">
      <w:r>
        <w:separator/>
      </w:r>
    </w:p>
  </w:footnote>
  <w:footnote w:type="continuationSeparator" w:id="0">
    <w:p w14:paraId="21616FAD" w14:textId="77777777" w:rsidR="0020425A" w:rsidRDefault="0020425A" w:rsidP="0007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125EA" w14:textId="77777777" w:rsidR="000758C6" w:rsidRDefault="00075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81308"/>
      <w:docPartObj>
        <w:docPartGallery w:val="Watermarks"/>
        <w:docPartUnique/>
      </w:docPartObj>
    </w:sdtPr>
    <w:sdtEndPr/>
    <w:sdtContent>
      <w:p w14:paraId="5738EC49" w14:textId="514D8137" w:rsidR="000758C6" w:rsidRDefault="0020425A">
        <w:pPr>
          <w:pStyle w:val="Header"/>
        </w:pPr>
        <w:r>
          <w:rPr>
            <w:noProof/>
          </w:rPr>
          <w:pict w14:anchorId="7D8B27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66095" o:spid="_x0000_s2049" type="#_x0000_t136" style="position:absolute;margin-left:0;margin-top:0;width:467.95pt;height:155.9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86537" w14:textId="77777777" w:rsidR="000758C6" w:rsidRDefault="0007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0671F"/>
    <w:multiLevelType w:val="hybridMultilevel"/>
    <w:tmpl w:val="A8E4E378"/>
    <w:lvl w:ilvl="0" w:tplc="FF0AA9F8">
      <w:start w:val="1"/>
      <w:numFmt w:val="decimal"/>
      <w:lvlText w:val="%1."/>
      <w:lvlJc w:val="left"/>
      <w:pPr>
        <w:ind w:left="81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4A4608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F5685AF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D1A65ABA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19E6D11C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 w:tplc="B05410D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6" w:tplc="4A260C7C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ar-SA"/>
      </w:rPr>
    </w:lvl>
    <w:lvl w:ilvl="7" w:tplc="4ECA179A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 w:tplc="D1F09A66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6"/>
    <w:rsid w:val="000758C6"/>
    <w:rsid w:val="0010466F"/>
    <w:rsid w:val="001F459B"/>
    <w:rsid w:val="0020425A"/>
    <w:rsid w:val="004B5CA4"/>
    <w:rsid w:val="00743A98"/>
    <w:rsid w:val="007E7F07"/>
    <w:rsid w:val="00E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1C63CD"/>
  <w15:docId w15:val="{AE8A0F36-BBCB-4818-8798-754BBCB0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16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7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9"/>
      <w:ind w:left="81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3A9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3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A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C6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75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8C6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swimengland/wavepower-child-safeguarding-for-club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wimming.org/swimengland/wavepower-child-safeguarding-for-club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imming.org/swimengland/wavepower-child-safeguarding-for-club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wimming.org/swimengland/wavepower-child-safeguarding-for-club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wimming.org/swimengland/wavepower-child-safeguarding-for-club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Laverick</dc:creator>
  <cp:lastModifiedBy>Gemma Scrivener</cp:lastModifiedBy>
  <cp:revision>2</cp:revision>
  <dcterms:created xsi:type="dcterms:W3CDTF">2025-11-13T11:24:00Z</dcterms:created>
  <dcterms:modified xsi:type="dcterms:W3CDTF">2025-11-13T11:24:00Z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2025-01-05T00:00:00Z</vt:filetime>
  </property>
  <property fmtid="{D5CDD505-2E9C-101B-9397-08002B2CF9AE}" pid="3" name="Producer">
    <vt:lpwstr>3-Heights(TM) PDF Security Shell 4.8.25.2 (http://www.pdf-tools.com)</vt:lpwstr>
  </property>
</Properties>
</file>